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37CF6" w14:textId="59A09133" w:rsidR="00220F0F" w:rsidRPr="00327E7F" w:rsidRDefault="00220F0F" w:rsidP="00220F0F">
      <w:pPr>
        <w:rPr>
          <w:rFonts w:ascii="Arial" w:hAnsi="Arial" w:cs="Arial"/>
          <w:b/>
          <w:bCs/>
        </w:rPr>
      </w:pPr>
      <w:r w:rsidRPr="00327E7F">
        <w:rPr>
          <w:rFonts w:ascii="Arial" w:hAnsi="Arial" w:cs="Arial"/>
          <w:b/>
          <w:bCs/>
        </w:rPr>
        <w:t>3GPP TSG RAN WG1 Meeting #94bis</w:t>
      </w:r>
      <w:r w:rsidRPr="00327E7F">
        <w:rPr>
          <w:rFonts w:ascii="Arial" w:hAnsi="Arial" w:cs="Arial"/>
          <w:b/>
          <w:bCs/>
        </w:rPr>
        <w:tab/>
      </w:r>
      <w:r w:rsidRPr="00327E7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327E7F">
        <w:rPr>
          <w:rFonts w:ascii="Arial" w:hAnsi="Arial" w:cs="Arial"/>
          <w:b/>
          <w:bCs/>
        </w:rPr>
        <w:t>R1-18</w:t>
      </w:r>
      <w:r w:rsidR="009474A8" w:rsidRPr="009474A8">
        <w:rPr>
          <w:rFonts w:ascii="Arial" w:hAnsi="Arial" w:cs="Arial"/>
          <w:b/>
          <w:bCs/>
        </w:rPr>
        <w:t>1112</w:t>
      </w:r>
      <w:r w:rsidR="00975C65">
        <w:rPr>
          <w:rFonts w:ascii="Arial" w:hAnsi="Arial" w:cs="Arial"/>
          <w:b/>
          <w:bCs/>
        </w:rPr>
        <w:t>5</w:t>
      </w:r>
      <w:bookmarkStart w:id="0" w:name="_GoBack"/>
      <w:bookmarkEnd w:id="0"/>
    </w:p>
    <w:p w14:paraId="341DAEE7" w14:textId="77777777" w:rsidR="00220F0F" w:rsidRPr="00327E7F" w:rsidRDefault="00220F0F" w:rsidP="00220F0F">
      <w:pPr>
        <w:rPr>
          <w:rFonts w:ascii="Arial" w:hAnsi="Arial" w:cs="Arial"/>
          <w:b/>
          <w:bCs/>
        </w:rPr>
      </w:pPr>
      <w:r w:rsidRPr="00327E7F">
        <w:rPr>
          <w:rFonts w:ascii="Arial" w:hAnsi="Arial" w:cs="Arial"/>
          <w:b/>
          <w:bCs/>
        </w:rPr>
        <w:t xml:space="preserve">Chengdu, China, October 8th – 12th,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335692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D925CBA" w:rsidR="008E401E" w:rsidRDefault="003D3C45" w:rsidP="00311702">
      <w:pPr>
        <w:pStyle w:val="3GPPHeader"/>
        <w:rPr>
          <w:sz w:val="22"/>
          <w:szCs w:val="22"/>
        </w:rPr>
      </w:pPr>
      <w:r w:rsidRPr="00315C6E">
        <w:rPr>
          <w:sz w:val="22"/>
          <w:szCs w:val="22"/>
        </w:rPr>
        <w:t>Title:</w:t>
      </w:r>
      <w:r w:rsidR="00E90E49" w:rsidRPr="00315C6E">
        <w:rPr>
          <w:sz w:val="22"/>
          <w:szCs w:val="22"/>
        </w:rPr>
        <w:tab/>
      </w:r>
      <w:r w:rsidR="00897132">
        <w:rPr>
          <w:sz w:val="22"/>
          <w:szCs w:val="22"/>
        </w:rPr>
        <w:t>Consideration</w:t>
      </w:r>
      <w:r w:rsidR="008E401E" w:rsidRPr="008E401E">
        <w:rPr>
          <w:sz w:val="22"/>
          <w:szCs w:val="22"/>
        </w:rPr>
        <w:t xml:space="preserve"> on beam measurement and reporting</w:t>
      </w:r>
      <w:r w:rsidR="00897132">
        <w:rPr>
          <w:sz w:val="22"/>
          <w:szCs w:val="22"/>
        </w:rPr>
        <w:t xml:space="preserve">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5F307AD" w14:textId="32C20E64" w:rsidR="009A00CA"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CE5D4B">
        <w:rPr>
          <w:sz w:val="20"/>
          <w:szCs w:val="20"/>
        </w:rPr>
        <w:t xml:space="preserve">better services including high data rate, low latency, high reliability and high connection density, etc. </w:t>
      </w:r>
      <w:r w:rsidR="00197CFF">
        <w:rPr>
          <w:sz w:val="20"/>
          <w:szCs w:val="20"/>
        </w:rPr>
        <w:t xml:space="preserve">Among all those performance metrics, </w:t>
      </w:r>
      <w:r w:rsidR="00437BB9">
        <w:rPr>
          <w:sz w:val="20"/>
          <w:szCs w:val="20"/>
        </w:rPr>
        <w:t xml:space="preserve">achieving high </w:t>
      </w:r>
      <w:r w:rsidR="00197CFF">
        <w:rPr>
          <w:sz w:val="20"/>
          <w:szCs w:val="20"/>
        </w:rPr>
        <w:t>data rate for eMBB service is very important. To improve the date rate, it is crucial to design a system that can work at higher frequency band (above 6GHz or mmW)</w:t>
      </w:r>
      <w:r w:rsidR="000840C3">
        <w:rPr>
          <w:sz w:val="20"/>
          <w:szCs w:val="20"/>
        </w:rPr>
        <w:t xml:space="preserve">, where large bandwidth can be available. </w:t>
      </w:r>
      <w:r w:rsidR="009A00CA">
        <w:rPr>
          <w:sz w:val="20"/>
          <w:szCs w:val="20"/>
        </w:rPr>
        <w:t>High frequency band communications are typically limited by the analog beam forming due to RF constraint as well as the coverage requirement, therefore, beam measurement and report</w:t>
      </w:r>
      <w:r w:rsidR="0087043E">
        <w:rPr>
          <w:sz w:val="20"/>
          <w:szCs w:val="20"/>
        </w:rPr>
        <w:t>ing</w:t>
      </w:r>
      <w:r w:rsidR="009A00CA">
        <w:rPr>
          <w:sz w:val="20"/>
          <w:szCs w:val="20"/>
        </w:rPr>
        <w:t xml:space="preserve"> is one of the most important topic</w:t>
      </w:r>
      <w:r w:rsidR="0087043E">
        <w:rPr>
          <w:sz w:val="20"/>
          <w:szCs w:val="20"/>
        </w:rPr>
        <w:t>s</w:t>
      </w:r>
      <w:r w:rsidR="009A00CA">
        <w:rPr>
          <w:sz w:val="20"/>
          <w:szCs w:val="20"/>
        </w:rPr>
        <w:t xml:space="preserve"> for high frequency band communication design.</w:t>
      </w:r>
    </w:p>
    <w:p w14:paraId="161072FD" w14:textId="77777777" w:rsidR="009A00CA" w:rsidRDefault="009A00CA" w:rsidP="001622D5">
      <w:pPr>
        <w:jc w:val="both"/>
        <w:rPr>
          <w:sz w:val="20"/>
          <w:szCs w:val="20"/>
        </w:rPr>
      </w:pP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00762828" w:rsidR="00290BD6" w:rsidRDefault="005852E2" w:rsidP="001622D5">
      <w:pPr>
        <w:jc w:val="both"/>
        <w:rPr>
          <w:sz w:val="20"/>
          <w:szCs w:val="20"/>
        </w:rPr>
      </w:pPr>
      <w:r>
        <w:rPr>
          <w:sz w:val="20"/>
          <w:szCs w:val="20"/>
        </w:rPr>
        <w:t xml:space="preserve">So </w:t>
      </w:r>
      <w:r w:rsidR="006F5EBE">
        <w:rPr>
          <w:sz w:val="20"/>
          <w:szCs w:val="20"/>
        </w:rPr>
        <w:t>far, for all three types of beam measurement and reporting, i.e. periodic, sem</w:t>
      </w:r>
      <w:r w:rsidR="004E1C30">
        <w:rPr>
          <w:sz w:val="20"/>
          <w:szCs w:val="20"/>
        </w:rPr>
        <w:t>i-persistent and aperiodic, 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In other words, </w:t>
      </w:r>
      <w:r w:rsidR="004A6FA3">
        <w:rPr>
          <w:sz w:val="20"/>
          <w:szCs w:val="20"/>
        </w:rPr>
        <w:t>NW configures periodic or semi-persistent resource</w:t>
      </w:r>
      <w:r w:rsidR="006E4C7F">
        <w:rPr>
          <w:sz w:val="20"/>
          <w:szCs w:val="20"/>
        </w:rPr>
        <w:t>s</w:t>
      </w:r>
      <w:r w:rsidR="004A6FA3">
        <w:rPr>
          <w:sz w:val="20"/>
          <w:szCs w:val="20"/>
        </w:rPr>
        <w:t xml:space="preserve"> for UE to measure and UE reports periodically or semi-persistently, </w:t>
      </w:r>
      <w:r w:rsidR="002B0D3E">
        <w:rPr>
          <w:sz w:val="20"/>
          <w:szCs w:val="20"/>
        </w:rPr>
        <w:t>or NW can configure aperiodic resource for UE to measure and report</w:t>
      </w:r>
      <w:r w:rsidR="00290BD6">
        <w:rPr>
          <w:sz w:val="20"/>
          <w:szCs w:val="20"/>
        </w:rPr>
        <w:t>.</w:t>
      </w:r>
      <w:r w:rsidR="00D0190A">
        <w:rPr>
          <w:sz w:val="20"/>
          <w:szCs w:val="20"/>
        </w:rPr>
        <w:t xml:space="preserve"> 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7833B5E5" w14:textId="77777777" w:rsidR="00D2486B" w:rsidRDefault="00D2486B" w:rsidP="001622D5">
      <w:pPr>
        <w:jc w:val="both"/>
        <w:rPr>
          <w:sz w:val="20"/>
          <w:szCs w:val="20"/>
        </w:rPr>
      </w:pPr>
    </w:p>
    <w:p w14:paraId="49DC4BBE" w14:textId="77777777" w:rsidR="00C0236D" w:rsidRDefault="00C0236D" w:rsidP="001622D5">
      <w:pPr>
        <w:jc w:val="both"/>
        <w:rPr>
          <w:sz w:val="20"/>
          <w:szCs w:val="20"/>
        </w:rPr>
      </w:pP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lastRenderedPageBreak/>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77777777" w:rsidR="00890C55" w:rsidRPr="00C0236D"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45538102"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7E9A774C"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It is hard for the gNB to optimally configure the periodicity of reference signals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lastRenderedPageBreak/>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report the measurement as shown by green arrows. Clearly, event based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lastRenderedPageBreak/>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151E283B" w:rsidR="008C0FD4" w:rsidRDefault="00A97BC4" w:rsidP="006F21A8">
      <w:pPr>
        <w:jc w:val="both"/>
        <w:rPr>
          <w:sz w:val="20"/>
          <w:szCs w:val="20"/>
        </w:rPr>
      </w:pPr>
      <w:r>
        <w:rPr>
          <w:sz w:val="20"/>
          <w:szCs w:val="20"/>
        </w:rPr>
        <w:t>Similar</w:t>
      </w:r>
      <w:r w:rsidR="00783982">
        <w:rPr>
          <w:sz w:val="20"/>
          <w:szCs w:val="20"/>
        </w:rPr>
        <w:t xml:space="preserve"> </w:t>
      </w:r>
      <w:r w:rsidR="000E2CC0">
        <w:rPr>
          <w:sz w:val="20"/>
          <w:szCs w:val="20"/>
        </w:rPr>
        <w:t xml:space="preserve">as the measurement report, </w:t>
      </w:r>
      <w:r w:rsidR="004533DD">
        <w:rPr>
          <w:sz w:val="20"/>
          <w:szCs w:val="20"/>
        </w:rPr>
        <w:t xml:space="preserve">such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can be 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53A052BB" w:rsidR="00CC7821" w:rsidRDefault="006F21A8" w:rsidP="006F21A8">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2</w:t>
      </w:r>
      <w:r w:rsidRPr="00430170">
        <w:rPr>
          <w:rFonts w:eastAsia="SimSun"/>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 xml:space="preserve">configuring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19382CD0" w:rsidR="006F574B" w:rsidRPr="005A5E91" w:rsidRDefault="006F574B" w:rsidP="006F21A8">
      <w:pPr>
        <w:jc w:val="both"/>
        <w:rPr>
          <w:sz w:val="20"/>
          <w:szCs w:val="21"/>
        </w:rPr>
      </w:pPr>
      <w:r w:rsidRPr="005A5E91">
        <w:rPr>
          <w:sz w:val="20"/>
          <w:szCs w:val="21"/>
        </w:rPr>
        <w:t>For both P1 and P3 procedure, UE needs to performance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3E6FEF8C"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react to the beam change promptly, gNB has to configure frequent enough </w:t>
      </w:r>
      <w:r w:rsidR="005309B2">
        <w:rPr>
          <w:sz w:val="20"/>
          <w:szCs w:val="20"/>
        </w:rPr>
        <w:t>measurement</w:t>
      </w:r>
      <w:r w:rsidR="0007722E">
        <w:rPr>
          <w:sz w:val="20"/>
          <w:szCs w:val="20"/>
        </w:rPr>
        <w:t xml:space="preserve"> </w:t>
      </w:r>
      <w:r w:rsidRPr="00D65BA7">
        <w:rPr>
          <w:sz w:val="20"/>
          <w:szCs w:val="20"/>
        </w:rPr>
        <w:t>resources.</w:t>
      </w:r>
    </w:p>
    <w:p w14:paraId="1F00DC8B" w14:textId="77777777" w:rsidR="007B55A3" w:rsidRPr="00D65BA7" w:rsidRDefault="007B55A3" w:rsidP="00BC674A">
      <w:pPr>
        <w:rPr>
          <w:sz w:val="20"/>
          <w:szCs w:val="20"/>
        </w:rPr>
      </w:pPr>
    </w:p>
    <w:p w14:paraId="5A61415D" w14:textId="7841D88C"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015EF1B7" w14:textId="1F3C4814" w:rsidR="00BC674A" w:rsidRDefault="00BC674A" w:rsidP="00BC674A">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77777777"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 to support UE report to assist gNB configuring 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77777777" w:rsidR="00B929A6" w:rsidRDefault="00B929A6" w:rsidP="00B929A6">
      <w:pPr>
        <w:jc w:val="both"/>
        <w:rPr>
          <w:b/>
          <w:i/>
          <w:sz w:val="20"/>
          <w:szCs w:val="20"/>
        </w:rPr>
      </w:pPr>
      <w:r w:rsidRPr="00430170">
        <w:rPr>
          <w:rFonts w:eastAsia="SimSun"/>
          <w:b/>
          <w:bCs/>
          <w:i/>
          <w:sz w:val="20"/>
          <w:szCs w:val="20"/>
          <w:u w:val="single"/>
        </w:rPr>
        <w:lastRenderedPageBreak/>
        <w:t xml:space="preserve">Proposal </w:t>
      </w:r>
      <w:r>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A085211" w:rsidR="00B00240" w:rsidRPr="00BB67D8"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sectPr w:rsidR="00B00240"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B0714" w14:textId="77777777" w:rsidR="00470066" w:rsidRDefault="00470066">
      <w:r>
        <w:separator/>
      </w:r>
    </w:p>
  </w:endnote>
  <w:endnote w:type="continuationSeparator" w:id="0">
    <w:p w14:paraId="3B89B92F" w14:textId="77777777" w:rsidR="00470066" w:rsidRDefault="00470066">
      <w:r>
        <w:continuationSeparator/>
      </w:r>
    </w:p>
  </w:endnote>
  <w:endnote w:type="continuationNotice" w:id="1">
    <w:p w14:paraId="58C819E1" w14:textId="77777777" w:rsidR="00470066" w:rsidRDefault="00470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B4046" w14:textId="77777777" w:rsidR="00470066" w:rsidRDefault="00470066">
      <w:r>
        <w:separator/>
      </w:r>
    </w:p>
  </w:footnote>
  <w:footnote w:type="continuationSeparator" w:id="0">
    <w:p w14:paraId="63553138" w14:textId="77777777" w:rsidR="00470066" w:rsidRDefault="00470066">
      <w:r>
        <w:continuationSeparator/>
      </w:r>
    </w:p>
  </w:footnote>
  <w:footnote w:type="continuationNotice" w:id="1">
    <w:p w14:paraId="0BB3B461" w14:textId="77777777" w:rsidR="00470066" w:rsidRDefault="004700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5"/>
  </w:num>
  <w:num w:numId="7">
    <w:abstractNumId w:val="20"/>
  </w:num>
  <w:num w:numId="8">
    <w:abstractNumId w:val="9"/>
  </w:num>
  <w:num w:numId="9">
    <w:abstractNumId w:val="18"/>
  </w:num>
  <w:num w:numId="10">
    <w:abstractNumId w:val="11"/>
  </w:num>
  <w:num w:numId="11">
    <w:abstractNumId w:val="10"/>
  </w:num>
  <w:num w:numId="12">
    <w:abstractNumId w:val="21"/>
  </w:num>
  <w:num w:numId="13">
    <w:abstractNumId w:val="7"/>
  </w:num>
  <w:num w:numId="14">
    <w:abstractNumId w:val="1"/>
  </w:num>
  <w:num w:numId="15">
    <w:abstractNumId w:val="5"/>
  </w:num>
  <w:num w:numId="16">
    <w:abstractNumId w:val="23"/>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6"/>
  </w:num>
  <w:num w:numId="23">
    <w:abstractNumId w:val="22"/>
  </w:num>
  <w:num w:numId="24">
    <w:abstractNumId w:val="6"/>
  </w:num>
  <w:num w:numId="25">
    <w:abstractNumId w:val="12"/>
  </w:num>
  <w:num w:numId="26">
    <w:abstractNumId w:val="19"/>
  </w:num>
  <w:num w:numId="2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34D"/>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DB0C8-40C5-0D45-8A01-F3F9A02F7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TotalTime>
  <Pages>6</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14</cp:revision>
  <cp:lastPrinted>2008-01-31T16:09:00Z</cp:lastPrinted>
  <dcterms:created xsi:type="dcterms:W3CDTF">2018-09-25T16:20:00Z</dcterms:created>
  <dcterms:modified xsi:type="dcterms:W3CDTF">2018-09-28T15:43:00Z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